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F10D" w14:textId="77777777" w:rsidR="00CA29E2" w:rsidRPr="00266DAF" w:rsidRDefault="00CA29E2" w:rsidP="00CA29E2">
      <w:pPr>
        <w:spacing w:line="288" w:lineRule="auto"/>
        <w:ind w:left="810" w:hanging="810"/>
        <w:jc w:val="center"/>
        <w:rPr>
          <w:rFonts w:ascii="Arial" w:hAnsi="Arial" w:cs="Arial"/>
          <w:b/>
          <w:u w:val="single"/>
        </w:rPr>
      </w:pPr>
    </w:p>
    <w:p w14:paraId="645C28C8" w14:textId="38D6853C" w:rsidR="009F2211" w:rsidRPr="00266DAF" w:rsidRDefault="008C4B2F" w:rsidP="00CA29E2">
      <w:pPr>
        <w:spacing w:line="288" w:lineRule="auto"/>
        <w:ind w:left="810" w:hanging="810"/>
        <w:jc w:val="center"/>
        <w:rPr>
          <w:rFonts w:ascii="Arial" w:hAnsi="Arial" w:cs="Arial"/>
          <w:b/>
          <w:u w:val="single"/>
        </w:rPr>
      </w:pPr>
      <w:r w:rsidRPr="00266DAF">
        <w:rPr>
          <w:rFonts w:ascii="Arial" w:hAnsi="Arial" w:cs="Arial"/>
          <w:b/>
          <w:u w:val="single"/>
        </w:rPr>
        <w:t xml:space="preserve">ANNEX </w:t>
      </w:r>
      <w:r w:rsidR="00266DAF" w:rsidRPr="00266DAF">
        <w:rPr>
          <w:rFonts w:ascii="Arial" w:hAnsi="Arial" w:cs="Arial"/>
          <w:b/>
          <w:u w:val="single"/>
        </w:rPr>
        <w:t>IX</w:t>
      </w:r>
    </w:p>
    <w:p w14:paraId="3E956F2D" w14:textId="35F068FA" w:rsidR="009F2211" w:rsidRPr="00266DAF" w:rsidRDefault="00266DAF" w:rsidP="00CA29E2">
      <w:pPr>
        <w:spacing w:line="288" w:lineRule="auto"/>
        <w:ind w:left="810" w:hanging="810"/>
        <w:jc w:val="center"/>
        <w:rPr>
          <w:rFonts w:ascii="Arial" w:hAnsi="Arial" w:cs="Arial"/>
          <w:b/>
          <w:u w:val="single"/>
        </w:rPr>
      </w:pPr>
      <w:r w:rsidRPr="00266DAF">
        <w:rPr>
          <w:rFonts w:ascii="Arial" w:hAnsi="Arial" w:cs="Arial"/>
          <w:b/>
          <w:u w:val="single"/>
        </w:rPr>
        <w:t>CHECKLIST OF DOCUMENTS WHICH TENDERERS MUST SUBMIT</w:t>
      </w:r>
    </w:p>
    <w:p w14:paraId="76E661F9" w14:textId="77777777" w:rsidR="00FD4CE2" w:rsidRPr="00266DAF" w:rsidRDefault="00FD4CE2" w:rsidP="00FD4CE2">
      <w:pPr>
        <w:rPr>
          <w:rFonts w:ascii="Arial" w:hAnsi="Arial" w:cs="Arial"/>
        </w:rPr>
      </w:pPr>
    </w:p>
    <w:p w14:paraId="222D8E37"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t xml:space="preserve">The checklist must be used to ensure that you have provided all the documentation for this tender and in the correct way. This checklist should be signed and included in envelope </w:t>
      </w:r>
      <w:r w:rsidRPr="00266DAF">
        <w:rPr>
          <w:rFonts w:ascii="Arial" w:hAnsi="Arial" w:cs="Arial"/>
          <w:b/>
          <w:bCs/>
        </w:rPr>
        <w:t xml:space="preserve">A </w:t>
      </w:r>
      <w:r w:rsidRPr="00266DAF">
        <w:rPr>
          <w:rFonts w:ascii="Arial" w:hAnsi="Arial" w:cs="Arial"/>
        </w:rPr>
        <w:t>of your tender.</w:t>
      </w:r>
    </w:p>
    <w:p w14:paraId="48B59E89" w14:textId="77777777" w:rsidR="00266DAF" w:rsidRPr="00266DAF" w:rsidRDefault="00266DAF" w:rsidP="00266DAF">
      <w:pPr>
        <w:autoSpaceDE w:val="0"/>
        <w:autoSpaceDN w:val="0"/>
        <w:adjustRightInd w:val="0"/>
        <w:jc w:val="both"/>
        <w:rPr>
          <w:rFonts w:ascii="Arial" w:hAnsi="Arial" w:cs="Arial"/>
          <w:bCs/>
        </w:rPr>
      </w:pPr>
      <w:r w:rsidRPr="00266DAF">
        <w:rPr>
          <w:rFonts w:ascii="Arial" w:hAnsi="Arial" w:cs="Arial"/>
          <w:bCs/>
        </w:rPr>
        <w:t xml:space="preserve">Please tick </w:t>
      </w:r>
      <w:r w:rsidRPr="00266DAF">
        <w:rPr>
          <w:rFonts w:ascii="Arial" w:hAnsi="Arial" w:cs="Arial"/>
          <w:b/>
          <w:bCs/>
        </w:rPr>
        <w:t>√</w:t>
      </w:r>
      <w:r w:rsidRPr="00266DAF">
        <w:rPr>
          <w:rFonts w:ascii="Arial" w:hAnsi="Arial" w:cs="Arial"/>
        </w:rPr>
        <w:t xml:space="preserve"> </w:t>
      </w:r>
      <w:r w:rsidRPr="00266DAF">
        <w:rPr>
          <w:rFonts w:ascii="Arial" w:hAnsi="Arial" w:cs="Arial"/>
          <w:bCs/>
        </w:rPr>
        <w:t>the boxes provided to confirm that:</w:t>
      </w:r>
    </w:p>
    <w:p w14:paraId="7A8FBD57" w14:textId="77777777" w:rsidR="00266DAF" w:rsidRPr="00266DAF" w:rsidRDefault="00266DAF" w:rsidP="00266DAF">
      <w:pPr>
        <w:autoSpaceDE w:val="0"/>
        <w:autoSpaceDN w:val="0"/>
        <w:adjustRightInd w:val="0"/>
        <w:jc w:val="both"/>
        <w:rPr>
          <w:rFonts w:ascii="Arial" w:hAnsi="Arial" w:cs="Arial"/>
        </w:rPr>
      </w:pPr>
    </w:p>
    <w:p w14:paraId="775FAF0F"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t xml:space="preserve">1. Envelope </w:t>
      </w:r>
      <w:r w:rsidRPr="00266DAF">
        <w:rPr>
          <w:rFonts w:ascii="Arial" w:hAnsi="Arial" w:cs="Arial"/>
          <w:b/>
          <w:bCs/>
        </w:rPr>
        <w:t xml:space="preserve">‘A’ </w:t>
      </w:r>
      <w:r w:rsidRPr="00266DAF">
        <w:rPr>
          <w:rFonts w:ascii="Arial" w:hAnsi="Arial" w:cs="Arial"/>
        </w:rPr>
        <w:t>contains in one (1) original and one electronic copy on CD, DVD or USB stick:</w:t>
      </w:r>
    </w:p>
    <w:p w14:paraId="7B6F17D5" w14:textId="77777777"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rPr>
        <w:t>A cover letter on the official letterhead paper of the Tenderer and signed by an authorised representative of the Tenderer. The cover letter shall contain:</w:t>
      </w:r>
    </w:p>
    <w:p w14:paraId="6FF247A1" w14:textId="77777777" w:rsidR="002E4086" w:rsidRPr="002E4086" w:rsidRDefault="002E4086" w:rsidP="002E4086">
      <w:pPr>
        <w:numPr>
          <w:ilvl w:val="1"/>
          <w:numId w:val="18"/>
        </w:numPr>
        <w:spacing w:before="120" w:after="120" w:line="240" w:lineRule="auto"/>
        <w:jc w:val="both"/>
        <w:rPr>
          <w:rFonts w:ascii="Arial" w:hAnsi="Arial" w:cs="Arial"/>
          <w:color w:val="000000"/>
        </w:rPr>
      </w:pPr>
      <w:r w:rsidRPr="002E4086">
        <w:rPr>
          <w:rFonts w:ascii="Arial" w:hAnsi="Arial" w:cs="Arial"/>
          <w:color w:val="000000"/>
        </w:rPr>
        <w:t>The name and the designation of the person who is authorised to sign the contract on behalf of the tenderer;</w:t>
      </w:r>
    </w:p>
    <w:p w14:paraId="3CB2D211" w14:textId="77777777" w:rsidR="002E4086" w:rsidRPr="002E4086" w:rsidRDefault="002E4086" w:rsidP="002E4086">
      <w:pPr>
        <w:numPr>
          <w:ilvl w:val="1"/>
          <w:numId w:val="18"/>
        </w:numPr>
        <w:spacing w:before="120" w:after="120" w:line="240" w:lineRule="auto"/>
        <w:jc w:val="both"/>
        <w:rPr>
          <w:rFonts w:ascii="Arial" w:hAnsi="Arial" w:cs="Arial"/>
          <w:color w:val="000000"/>
        </w:rPr>
      </w:pPr>
      <w:r w:rsidRPr="002E4086">
        <w:rPr>
          <w:rFonts w:ascii="Arial" w:hAnsi="Arial" w:cs="Arial"/>
          <w:color w:val="000000"/>
        </w:rPr>
        <w:t>The written statement on tenderer’s acceptance of the CEPOL’s model contract without reservations;</w:t>
      </w:r>
    </w:p>
    <w:p w14:paraId="3331A347" w14:textId="77777777" w:rsidR="002E4086" w:rsidRPr="002E4086" w:rsidRDefault="002E4086" w:rsidP="002E4086">
      <w:pPr>
        <w:numPr>
          <w:ilvl w:val="1"/>
          <w:numId w:val="18"/>
        </w:numPr>
        <w:spacing w:before="120" w:after="120" w:line="240" w:lineRule="auto"/>
        <w:jc w:val="both"/>
        <w:rPr>
          <w:rFonts w:ascii="Arial" w:hAnsi="Arial" w:cs="Arial"/>
          <w:color w:val="000000"/>
        </w:rPr>
      </w:pPr>
      <w:r w:rsidRPr="002E4086">
        <w:rPr>
          <w:rFonts w:ascii="Arial" w:hAnsi="Arial" w:cs="Arial"/>
        </w:rPr>
        <w:t xml:space="preserve">The confirmation that the period of validity of the tender is as required in </w:t>
      </w:r>
      <w:r w:rsidRPr="002E4086">
        <w:rPr>
          <w:rFonts w:ascii="Arial" w:hAnsi="Arial" w:cs="Arial"/>
          <w:b/>
        </w:rPr>
        <w:t>section C.1.1</w:t>
      </w:r>
      <w:r w:rsidRPr="002E4086">
        <w:rPr>
          <w:rFonts w:ascii="Arial" w:hAnsi="Arial" w:cs="Arial"/>
        </w:rPr>
        <w:t>.</w:t>
      </w:r>
    </w:p>
    <w:p w14:paraId="1251B11D" w14:textId="77777777"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color w:val="000000"/>
        </w:rPr>
        <w:t xml:space="preserve">Filled in Tenderer’s identification form (see </w:t>
      </w:r>
      <w:r w:rsidRPr="002E4086">
        <w:rPr>
          <w:rFonts w:ascii="Arial" w:hAnsi="Arial" w:cs="Arial"/>
          <w:b/>
          <w:color w:val="000000"/>
        </w:rPr>
        <w:t>Annex V</w:t>
      </w:r>
      <w:r w:rsidRPr="002E4086">
        <w:rPr>
          <w:rFonts w:ascii="Arial" w:hAnsi="Arial" w:cs="Arial"/>
          <w:color w:val="000000"/>
        </w:rPr>
        <w:t>)</w:t>
      </w:r>
    </w:p>
    <w:p w14:paraId="6304629A" w14:textId="77777777"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color w:val="000000"/>
        </w:rPr>
        <w:t xml:space="preserve">Filled in Legal entity form (see </w:t>
      </w:r>
      <w:r w:rsidRPr="002E4086">
        <w:rPr>
          <w:rFonts w:ascii="Arial" w:hAnsi="Arial" w:cs="Arial"/>
          <w:b/>
          <w:color w:val="000000"/>
        </w:rPr>
        <w:t>Annex VII</w:t>
      </w:r>
      <w:r w:rsidRPr="002E4086">
        <w:rPr>
          <w:rFonts w:ascii="Arial" w:hAnsi="Arial" w:cs="Arial"/>
          <w:color w:val="000000"/>
        </w:rPr>
        <w:t>)</w:t>
      </w:r>
    </w:p>
    <w:p w14:paraId="3A478935" w14:textId="77777777"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color w:val="000000"/>
        </w:rPr>
        <w:t xml:space="preserve">Filled in Financial identification form (see </w:t>
      </w:r>
      <w:r w:rsidRPr="002E4086">
        <w:rPr>
          <w:rFonts w:ascii="Arial" w:hAnsi="Arial" w:cs="Arial"/>
          <w:b/>
          <w:color w:val="000000"/>
        </w:rPr>
        <w:t>Annex VIII</w:t>
      </w:r>
      <w:r w:rsidRPr="002E4086">
        <w:rPr>
          <w:rFonts w:ascii="Arial" w:hAnsi="Arial" w:cs="Arial"/>
          <w:color w:val="000000"/>
        </w:rPr>
        <w:t>)</w:t>
      </w:r>
    </w:p>
    <w:p w14:paraId="6567993B" w14:textId="77777777"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color w:val="000000"/>
        </w:rPr>
        <w:t>Information and documentation about the tenderer’s eligibility and capacity, including:</w:t>
      </w:r>
    </w:p>
    <w:p w14:paraId="526E6A9D" w14:textId="77777777" w:rsidR="002E4086" w:rsidRPr="002E4086" w:rsidRDefault="002E4086" w:rsidP="002E4086">
      <w:pPr>
        <w:numPr>
          <w:ilvl w:val="1"/>
          <w:numId w:val="19"/>
        </w:numPr>
        <w:spacing w:before="120" w:after="120" w:line="240" w:lineRule="auto"/>
        <w:jc w:val="both"/>
        <w:rPr>
          <w:rFonts w:ascii="Arial" w:hAnsi="Arial" w:cs="Arial"/>
          <w:color w:val="000000"/>
        </w:rPr>
      </w:pPr>
      <w:r w:rsidRPr="002E4086">
        <w:rPr>
          <w:rFonts w:ascii="Arial" w:hAnsi="Arial" w:cs="Arial"/>
          <w:color w:val="000000"/>
        </w:rPr>
        <w:t xml:space="preserve">Original Declaration on Honour on Exclusion and Selection Criteria (See </w:t>
      </w:r>
      <w:r w:rsidRPr="002E4086">
        <w:rPr>
          <w:rFonts w:ascii="Arial" w:hAnsi="Arial" w:cs="Arial"/>
          <w:b/>
          <w:color w:val="000000"/>
        </w:rPr>
        <w:t>Annex IV</w:t>
      </w:r>
      <w:r w:rsidRPr="002E4086">
        <w:rPr>
          <w:rFonts w:ascii="Arial" w:hAnsi="Arial" w:cs="Arial"/>
          <w:color w:val="000000"/>
        </w:rPr>
        <w:t>)</w:t>
      </w:r>
    </w:p>
    <w:p w14:paraId="70FCDE60" w14:textId="77777777" w:rsidR="002E4086" w:rsidRPr="002E4086" w:rsidRDefault="002E4086" w:rsidP="002E4086">
      <w:pPr>
        <w:numPr>
          <w:ilvl w:val="1"/>
          <w:numId w:val="19"/>
        </w:numPr>
        <w:spacing w:before="120" w:after="120" w:line="240" w:lineRule="auto"/>
        <w:jc w:val="both"/>
        <w:rPr>
          <w:rFonts w:ascii="Arial" w:hAnsi="Arial" w:cs="Arial"/>
          <w:color w:val="000000"/>
        </w:rPr>
      </w:pPr>
      <w:r w:rsidRPr="002E4086">
        <w:rPr>
          <w:rFonts w:ascii="Arial" w:hAnsi="Arial" w:cs="Arial"/>
          <w:color w:val="000000"/>
        </w:rPr>
        <w:t xml:space="preserve">Duly filled in and signed Tender form (See </w:t>
      </w:r>
      <w:r w:rsidRPr="002E4086">
        <w:rPr>
          <w:rFonts w:ascii="Arial" w:hAnsi="Arial" w:cs="Arial"/>
          <w:b/>
          <w:color w:val="000000"/>
        </w:rPr>
        <w:t>Annex VI</w:t>
      </w:r>
      <w:r w:rsidRPr="002E4086">
        <w:rPr>
          <w:rFonts w:ascii="Arial" w:hAnsi="Arial" w:cs="Arial"/>
          <w:color w:val="000000"/>
        </w:rPr>
        <w:t>)</w:t>
      </w:r>
    </w:p>
    <w:p w14:paraId="2FEC04CF" w14:textId="77777777" w:rsidR="002E4086" w:rsidRPr="002E4086" w:rsidRDefault="002E4086" w:rsidP="002E4086">
      <w:pPr>
        <w:numPr>
          <w:ilvl w:val="1"/>
          <w:numId w:val="19"/>
        </w:numPr>
        <w:spacing w:before="120" w:after="120" w:line="240" w:lineRule="auto"/>
        <w:jc w:val="both"/>
        <w:rPr>
          <w:rFonts w:ascii="Arial" w:hAnsi="Arial" w:cs="Arial"/>
          <w:color w:val="000000"/>
        </w:rPr>
      </w:pPr>
      <w:r w:rsidRPr="002E4086">
        <w:rPr>
          <w:rFonts w:ascii="Arial" w:hAnsi="Arial" w:cs="Arial"/>
          <w:color w:val="000000"/>
        </w:rPr>
        <w:t xml:space="preserve">Copies of all original certificates and documents on the tenderer’s capacity as specified in section </w:t>
      </w:r>
      <w:r w:rsidRPr="002E4086">
        <w:rPr>
          <w:rFonts w:ascii="Arial" w:hAnsi="Arial" w:cs="Arial"/>
          <w:b/>
          <w:color w:val="000000"/>
        </w:rPr>
        <w:t xml:space="preserve">B.6.2.3. </w:t>
      </w:r>
      <w:r w:rsidRPr="002E4086">
        <w:rPr>
          <w:rFonts w:ascii="Arial" w:hAnsi="Arial" w:cs="Arial"/>
          <w:color w:val="000000"/>
        </w:rPr>
        <w:t>issued by an official authority in the country of origin or provenance of the tenderer</w:t>
      </w:r>
    </w:p>
    <w:p w14:paraId="0C813D76" w14:textId="77777777" w:rsidR="002E4086" w:rsidRPr="002E4086" w:rsidRDefault="002E4086" w:rsidP="002E4086">
      <w:pPr>
        <w:numPr>
          <w:ilvl w:val="1"/>
          <w:numId w:val="19"/>
        </w:numPr>
        <w:spacing w:before="120" w:after="120" w:line="240" w:lineRule="auto"/>
        <w:jc w:val="both"/>
        <w:rPr>
          <w:rFonts w:ascii="Arial" w:hAnsi="Arial" w:cs="Arial"/>
          <w:color w:val="000000"/>
        </w:rPr>
      </w:pPr>
      <w:r w:rsidRPr="002E4086">
        <w:rPr>
          <w:rFonts w:ascii="Arial" w:hAnsi="Arial" w:cs="Arial"/>
          <w:color w:val="000000"/>
        </w:rPr>
        <w:t xml:space="preserve">Any other evidence document and information required for the assessment of the selection criteria as specified in </w:t>
      </w:r>
      <w:r w:rsidRPr="002E4086">
        <w:rPr>
          <w:rFonts w:ascii="Arial" w:hAnsi="Arial" w:cs="Arial"/>
          <w:b/>
          <w:color w:val="000000"/>
        </w:rPr>
        <w:t>section B.6.2.</w:t>
      </w:r>
    </w:p>
    <w:p w14:paraId="551F9D8D" w14:textId="254F7671" w:rsidR="002E4086" w:rsidRPr="002E4086" w:rsidRDefault="002E4086" w:rsidP="002E4086">
      <w:pPr>
        <w:numPr>
          <w:ilvl w:val="0"/>
          <w:numId w:val="17"/>
        </w:numPr>
        <w:spacing w:before="120" w:after="120" w:line="240" w:lineRule="auto"/>
        <w:ind w:hanging="436"/>
        <w:jc w:val="both"/>
        <w:rPr>
          <w:rFonts w:ascii="Arial" w:hAnsi="Arial" w:cs="Arial"/>
          <w:color w:val="000000"/>
        </w:rPr>
      </w:pPr>
      <w:r w:rsidRPr="002E4086">
        <w:rPr>
          <w:rFonts w:ascii="Arial" w:hAnsi="Arial" w:cs="Arial"/>
          <w:color w:val="000000"/>
        </w:rPr>
        <w:t>If applicable, information and documentation on members of consortia and su</w:t>
      </w:r>
      <w:r>
        <w:rPr>
          <w:rFonts w:ascii="Arial" w:hAnsi="Arial" w:cs="Arial"/>
          <w:color w:val="000000"/>
        </w:rPr>
        <w:t>b</w:t>
      </w:r>
      <w:r w:rsidRPr="002E4086">
        <w:rPr>
          <w:rFonts w:ascii="Arial" w:hAnsi="Arial" w:cs="Arial"/>
          <w:color w:val="000000"/>
        </w:rPr>
        <w:t xml:space="preserve">contractors as specified in </w:t>
      </w:r>
      <w:r w:rsidRPr="002E4086">
        <w:rPr>
          <w:rFonts w:ascii="Arial" w:hAnsi="Arial" w:cs="Arial"/>
          <w:b/>
          <w:color w:val="000000"/>
        </w:rPr>
        <w:t>section E</w:t>
      </w:r>
    </w:p>
    <w:p w14:paraId="38EC0137" w14:textId="3AF71A53" w:rsidR="002E4086" w:rsidRPr="002E4086" w:rsidRDefault="00646B91" w:rsidP="002E4086">
      <w:pPr>
        <w:numPr>
          <w:ilvl w:val="0"/>
          <w:numId w:val="17"/>
        </w:numPr>
        <w:spacing w:before="120" w:after="120" w:line="240" w:lineRule="auto"/>
        <w:ind w:hanging="436"/>
        <w:jc w:val="both"/>
        <w:rPr>
          <w:rFonts w:ascii="Arial" w:hAnsi="Arial" w:cs="Arial"/>
          <w:color w:val="000000"/>
        </w:rPr>
      </w:pPr>
      <w:r>
        <w:rPr>
          <w:rFonts w:ascii="Arial" w:hAnsi="Arial" w:cs="Arial"/>
          <w:color w:val="000000"/>
        </w:rPr>
        <w:t>This c</w:t>
      </w:r>
      <w:r w:rsidR="002E4086" w:rsidRPr="002E4086">
        <w:rPr>
          <w:rFonts w:ascii="Arial" w:hAnsi="Arial" w:cs="Arial"/>
          <w:color w:val="000000"/>
        </w:rPr>
        <w:t>hecklist of documents w</w:t>
      </w:r>
      <w:r>
        <w:rPr>
          <w:rFonts w:ascii="Arial" w:hAnsi="Arial" w:cs="Arial"/>
          <w:color w:val="000000"/>
        </w:rPr>
        <w:t>hich tenderers must submit</w:t>
      </w:r>
    </w:p>
    <w:p w14:paraId="78ABBA60" w14:textId="77777777" w:rsidR="00266DAF" w:rsidRPr="002E4086" w:rsidRDefault="00266DAF" w:rsidP="002E4086">
      <w:pPr>
        <w:autoSpaceDE w:val="0"/>
        <w:autoSpaceDN w:val="0"/>
        <w:adjustRightInd w:val="0"/>
        <w:ind w:hanging="436"/>
        <w:jc w:val="both"/>
        <w:rPr>
          <w:rFonts w:ascii="Arial" w:hAnsi="Arial" w:cs="Arial"/>
        </w:rPr>
      </w:pPr>
    </w:p>
    <w:p w14:paraId="6F19F2FA" w14:textId="77777777" w:rsidR="00266DAF" w:rsidRPr="002E4086" w:rsidRDefault="00266DAF" w:rsidP="002E4086">
      <w:pPr>
        <w:autoSpaceDE w:val="0"/>
        <w:autoSpaceDN w:val="0"/>
        <w:adjustRightInd w:val="0"/>
        <w:ind w:hanging="436"/>
        <w:jc w:val="both"/>
        <w:rPr>
          <w:rFonts w:ascii="Arial" w:hAnsi="Arial" w:cs="Arial"/>
        </w:rPr>
      </w:pPr>
    </w:p>
    <w:p w14:paraId="518B55A2" w14:textId="77777777" w:rsidR="00266DAF" w:rsidRPr="002E4086" w:rsidRDefault="00266DAF" w:rsidP="002E4086">
      <w:pPr>
        <w:autoSpaceDE w:val="0"/>
        <w:autoSpaceDN w:val="0"/>
        <w:adjustRightInd w:val="0"/>
        <w:ind w:hanging="436"/>
        <w:jc w:val="both"/>
        <w:rPr>
          <w:rFonts w:ascii="Arial" w:hAnsi="Arial" w:cs="Arial"/>
        </w:rPr>
      </w:pPr>
    </w:p>
    <w:p w14:paraId="69610895" w14:textId="77777777" w:rsidR="00266DAF" w:rsidRPr="00266DAF" w:rsidRDefault="00266DAF" w:rsidP="00266DAF">
      <w:pPr>
        <w:autoSpaceDE w:val="0"/>
        <w:autoSpaceDN w:val="0"/>
        <w:adjustRightInd w:val="0"/>
        <w:jc w:val="both"/>
        <w:rPr>
          <w:rFonts w:ascii="Arial" w:hAnsi="Arial" w:cs="Arial"/>
        </w:rPr>
      </w:pPr>
    </w:p>
    <w:p w14:paraId="4A932913" w14:textId="77777777" w:rsidR="00266DAF" w:rsidRDefault="00266DAF" w:rsidP="00266DAF">
      <w:pPr>
        <w:autoSpaceDE w:val="0"/>
        <w:autoSpaceDN w:val="0"/>
        <w:adjustRightInd w:val="0"/>
        <w:jc w:val="both"/>
        <w:rPr>
          <w:rFonts w:ascii="Arial" w:hAnsi="Arial" w:cs="Arial"/>
        </w:rPr>
      </w:pPr>
    </w:p>
    <w:p w14:paraId="38A24D26"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lastRenderedPageBreak/>
        <w:t xml:space="preserve">2. Envelope </w:t>
      </w:r>
      <w:r w:rsidRPr="00266DAF">
        <w:rPr>
          <w:rFonts w:ascii="Arial" w:hAnsi="Arial" w:cs="Arial"/>
          <w:b/>
          <w:bCs/>
        </w:rPr>
        <w:t xml:space="preserve">‘B’ </w:t>
      </w:r>
      <w:r w:rsidRPr="00266DAF">
        <w:rPr>
          <w:rFonts w:ascii="Arial" w:hAnsi="Arial" w:cs="Arial"/>
        </w:rPr>
        <w:t>contains:</w:t>
      </w:r>
    </w:p>
    <w:p w14:paraId="45768D43" w14:textId="4C557438" w:rsidR="00266DAF" w:rsidRPr="003B26A5" w:rsidRDefault="00266DAF" w:rsidP="003B26A5">
      <w:pPr>
        <w:pStyle w:val="ListParagraph"/>
        <w:numPr>
          <w:ilvl w:val="0"/>
          <w:numId w:val="20"/>
        </w:numPr>
        <w:autoSpaceDE w:val="0"/>
        <w:autoSpaceDN w:val="0"/>
        <w:adjustRightInd w:val="0"/>
        <w:jc w:val="both"/>
        <w:rPr>
          <w:rFonts w:ascii="Arial" w:hAnsi="Arial" w:cs="Arial"/>
        </w:rPr>
      </w:pPr>
      <w:r w:rsidRPr="003B26A5">
        <w:rPr>
          <w:rFonts w:ascii="Arial" w:hAnsi="Arial" w:cs="Arial"/>
          <w:color w:val="000000"/>
        </w:rPr>
        <w:t>Technical proposal duly signed by the Tenderer’s authorised representative on the front page and initialled on each page, in one (1) original and one electronic copy on CD, DVD or USB stick. Please use the Technical Proposal Form (</w:t>
      </w:r>
      <w:r w:rsidRPr="003B26A5">
        <w:rPr>
          <w:rFonts w:ascii="Arial" w:hAnsi="Arial" w:cs="Arial"/>
          <w:b/>
          <w:color w:val="000000"/>
        </w:rPr>
        <w:t>Annex II</w:t>
      </w:r>
      <w:r w:rsidRPr="003B26A5">
        <w:rPr>
          <w:rFonts w:ascii="Arial" w:hAnsi="Arial" w:cs="Arial"/>
          <w:color w:val="000000"/>
        </w:rPr>
        <w:t>)</w:t>
      </w:r>
    </w:p>
    <w:p w14:paraId="701610BD" w14:textId="77777777" w:rsidR="00266DAF" w:rsidRPr="00266DAF" w:rsidRDefault="00266DAF" w:rsidP="00266DAF">
      <w:pPr>
        <w:autoSpaceDE w:val="0"/>
        <w:autoSpaceDN w:val="0"/>
        <w:adjustRightInd w:val="0"/>
        <w:jc w:val="both"/>
        <w:rPr>
          <w:rFonts w:ascii="Arial" w:hAnsi="Arial" w:cs="Arial"/>
        </w:rPr>
      </w:pPr>
    </w:p>
    <w:p w14:paraId="198D14DB"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t xml:space="preserve">3. Envelope </w:t>
      </w:r>
      <w:r w:rsidRPr="00266DAF">
        <w:rPr>
          <w:rFonts w:ascii="Arial" w:hAnsi="Arial" w:cs="Arial"/>
          <w:b/>
          <w:bCs/>
        </w:rPr>
        <w:t xml:space="preserve">‘C’ </w:t>
      </w:r>
      <w:r w:rsidRPr="00266DAF">
        <w:rPr>
          <w:rFonts w:ascii="Arial" w:hAnsi="Arial" w:cs="Arial"/>
        </w:rPr>
        <w:t>contains:</w:t>
      </w:r>
    </w:p>
    <w:p w14:paraId="5465C224" w14:textId="3ED2CD7E" w:rsidR="00266DAF" w:rsidRPr="003B26A5" w:rsidRDefault="00266DAF" w:rsidP="003B26A5">
      <w:pPr>
        <w:pStyle w:val="ListParagraph"/>
        <w:numPr>
          <w:ilvl w:val="0"/>
          <w:numId w:val="20"/>
        </w:numPr>
        <w:autoSpaceDE w:val="0"/>
        <w:autoSpaceDN w:val="0"/>
        <w:adjustRightInd w:val="0"/>
        <w:jc w:val="both"/>
        <w:rPr>
          <w:rFonts w:ascii="Arial" w:hAnsi="Arial" w:cs="Arial"/>
          <w:b/>
          <w:bCs/>
        </w:rPr>
      </w:pPr>
      <w:r w:rsidRPr="003B26A5">
        <w:rPr>
          <w:rFonts w:ascii="Arial" w:hAnsi="Arial" w:cs="Arial"/>
          <w:color w:val="000000"/>
        </w:rPr>
        <w:t>Financial proposal duly completed and signed by the Tenderer’s authorised representative, in one (1) original and one electronic copy on CD, DVD or USB stick. Please use the Financial Proposal Form (</w:t>
      </w:r>
      <w:r w:rsidRPr="003B26A5">
        <w:rPr>
          <w:rFonts w:ascii="Arial" w:hAnsi="Arial" w:cs="Arial"/>
          <w:b/>
          <w:color w:val="000000"/>
        </w:rPr>
        <w:t>Annex III</w:t>
      </w:r>
      <w:r w:rsidRPr="003B26A5">
        <w:rPr>
          <w:rFonts w:ascii="Arial" w:hAnsi="Arial" w:cs="Arial"/>
          <w:color w:val="000000"/>
        </w:rPr>
        <w:t>)</w:t>
      </w:r>
    </w:p>
    <w:p w14:paraId="5ED5BBD6" w14:textId="77777777" w:rsidR="00266DAF" w:rsidRPr="00266DAF" w:rsidRDefault="00266DAF" w:rsidP="00266DAF">
      <w:pPr>
        <w:autoSpaceDE w:val="0"/>
        <w:autoSpaceDN w:val="0"/>
        <w:adjustRightInd w:val="0"/>
        <w:jc w:val="both"/>
        <w:rPr>
          <w:rFonts w:ascii="Arial" w:hAnsi="Arial" w:cs="Arial"/>
          <w:b/>
          <w:bCs/>
        </w:rPr>
      </w:pPr>
    </w:p>
    <w:p w14:paraId="4893FC00" w14:textId="77777777" w:rsidR="00266DAF" w:rsidRPr="00266DAF" w:rsidRDefault="00266DAF" w:rsidP="00266DAF">
      <w:pPr>
        <w:autoSpaceDE w:val="0"/>
        <w:autoSpaceDN w:val="0"/>
        <w:adjustRightInd w:val="0"/>
        <w:jc w:val="both"/>
        <w:rPr>
          <w:rFonts w:ascii="Arial" w:hAnsi="Arial" w:cs="Arial"/>
          <w:b/>
          <w:bCs/>
        </w:rPr>
      </w:pPr>
      <w:r w:rsidRPr="00266DAF">
        <w:rPr>
          <w:rFonts w:ascii="Arial" w:hAnsi="Arial" w:cs="Arial"/>
          <w:b/>
          <w:bCs/>
        </w:rPr>
        <w:t>You should also ensure that:</w:t>
      </w:r>
    </w:p>
    <w:p w14:paraId="70375E1E" w14:textId="3A11E086" w:rsidR="00266DAF" w:rsidRPr="003B26A5" w:rsidRDefault="00266DAF" w:rsidP="003B26A5">
      <w:pPr>
        <w:pStyle w:val="ListParagraph"/>
        <w:numPr>
          <w:ilvl w:val="0"/>
          <w:numId w:val="20"/>
        </w:numPr>
        <w:autoSpaceDE w:val="0"/>
        <w:autoSpaceDN w:val="0"/>
        <w:adjustRightInd w:val="0"/>
        <w:jc w:val="both"/>
        <w:rPr>
          <w:rFonts w:ascii="Arial" w:hAnsi="Arial" w:cs="Arial"/>
        </w:rPr>
      </w:pPr>
      <w:r w:rsidRPr="003B26A5">
        <w:rPr>
          <w:rFonts w:ascii="Arial" w:hAnsi="Arial" w:cs="Arial"/>
        </w:rPr>
        <w:t>Your Tender is formulated in one of the official languages of the European Union. CEPOL prefers however to receive documentation in English, although this does not constitute a selection nor award criteria and will be ignored for the purposes of assessing the Tender.</w:t>
      </w:r>
    </w:p>
    <w:p w14:paraId="1722A81A" w14:textId="77777777" w:rsidR="00266DAF" w:rsidRPr="00266DAF" w:rsidRDefault="00266DAF" w:rsidP="00266DAF">
      <w:pPr>
        <w:autoSpaceDE w:val="0"/>
        <w:autoSpaceDN w:val="0"/>
        <w:adjustRightInd w:val="0"/>
        <w:jc w:val="both"/>
        <w:rPr>
          <w:rFonts w:ascii="Arial" w:hAnsi="Arial" w:cs="Arial"/>
        </w:rPr>
      </w:pPr>
    </w:p>
    <w:p w14:paraId="2797A305" w14:textId="4394D8D5" w:rsidR="00266DAF" w:rsidRPr="003B26A5" w:rsidRDefault="00266DAF" w:rsidP="003B26A5">
      <w:pPr>
        <w:pStyle w:val="ListParagraph"/>
        <w:numPr>
          <w:ilvl w:val="0"/>
          <w:numId w:val="20"/>
        </w:numPr>
        <w:autoSpaceDE w:val="0"/>
        <w:autoSpaceDN w:val="0"/>
        <w:adjustRightInd w:val="0"/>
        <w:jc w:val="both"/>
        <w:rPr>
          <w:rFonts w:ascii="Arial" w:hAnsi="Arial" w:cs="Arial"/>
        </w:rPr>
      </w:pPr>
      <w:r w:rsidRPr="003B26A5">
        <w:rPr>
          <w:rFonts w:ascii="Arial" w:hAnsi="Arial" w:cs="Arial"/>
        </w:rPr>
        <w:t>Both technical and financial proposals of the offer are signed by the Tenderer or his duly authorised representative.</w:t>
      </w:r>
    </w:p>
    <w:p w14:paraId="7F55CBC8" w14:textId="77777777" w:rsidR="00266DAF" w:rsidRPr="003B26A5" w:rsidRDefault="00266DAF" w:rsidP="00266DAF">
      <w:pPr>
        <w:autoSpaceDE w:val="0"/>
        <w:autoSpaceDN w:val="0"/>
        <w:adjustRightInd w:val="0"/>
        <w:ind w:left="720" w:hanging="720"/>
        <w:jc w:val="both"/>
        <w:rPr>
          <w:rFonts w:ascii="Arial" w:hAnsi="Arial" w:cs="Arial"/>
          <w:lang w:val="en-IE"/>
        </w:rPr>
      </w:pPr>
    </w:p>
    <w:p w14:paraId="1977B71D" w14:textId="3CF1C7BD" w:rsidR="00266DAF" w:rsidRPr="003B26A5" w:rsidRDefault="00266DAF" w:rsidP="003B26A5">
      <w:pPr>
        <w:pStyle w:val="ListParagraph"/>
        <w:numPr>
          <w:ilvl w:val="0"/>
          <w:numId w:val="20"/>
        </w:numPr>
        <w:autoSpaceDE w:val="0"/>
        <w:autoSpaceDN w:val="0"/>
        <w:adjustRightInd w:val="0"/>
        <w:jc w:val="both"/>
        <w:rPr>
          <w:rFonts w:ascii="Arial" w:hAnsi="Arial" w:cs="Arial"/>
        </w:rPr>
      </w:pPr>
      <w:r w:rsidRPr="003B26A5">
        <w:rPr>
          <w:rFonts w:ascii="Arial" w:hAnsi="Arial" w:cs="Arial"/>
        </w:rPr>
        <w:t>Your Tender is perfectly legible in order to rule out any ambiguity.</w:t>
      </w:r>
    </w:p>
    <w:p w14:paraId="20B885F7" w14:textId="77777777" w:rsidR="00266DAF" w:rsidRPr="003B26A5" w:rsidRDefault="00266DAF" w:rsidP="00266DAF">
      <w:pPr>
        <w:autoSpaceDE w:val="0"/>
        <w:autoSpaceDN w:val="0"/>
        <w:adjustRightInd w:val="0"/>
        <w:jc w:val="both"/>
        <w:rPr>
          <w:rFonts w:ascii="Arial" w:hAnsi="Arial" w:cs="Arial"/>
          <w:lang w:val="en-IE"/>
        </w:rPr>
      </w:pPr>
    </w:p>
    <w:p w14:paraId="61F81192" w14:textId="665D9231" w:rsidR="00266DAF" w:rsidRPr="003B26A5" w:rsidRDefault="00266DAF" w:rsidP="003B26A5">
      <w:pPr>
        <w:pStyle w:val="ListParagraph"/>
        <w:numPr>
          <w:ilvl w:val="0"/>
          <w:numId w:val="20"/>
        </w:numPr>
        <w:autoSpaceDE w:val="0"/>
        <w:autoSpaceDN w:val="0"/>
        <w:adjustRightInd w:val="0"/>
        <w:jc w:val="both"/>
        <w:rPr>
          <w:rFonts w:ascii="Arial" w:hAnsi="Arial" w:cs="Arial"/>
        </w:rPr>
      </w:pPr>
      <w:r w:rsidRPr="003B26A5">
        <w:rPr>
          <w:rFonts w:ascii="Arial" w:hAnsi="Arial" w:cs="Arial"/>
        </w:rPr>
        <w:t xml:space="preserve">Your Tender is submitted in accordance with the double envelope system as detailed in </w:t>
      </w:r>
      <w:r w:rsidRPr="003B26A5">
        <w:rPr>
          <w:rFonts w:ascii="Arial" w:hAnsi="Arial" w:cs="Arial"/>
          <w:b/>
          <w:bCs/>
        </w:rPr>
        <w:t>section C.3</w:t>
      </w:r>
      <w:r w:rsidRPr="003B26A5">
        <w:rPr>
          <w:rFonts w:ascii="Arial" w:hAnsi="Arial" w:cs="Arial"/>
        </w:rPr>
        <w:t>.</w:t>
      </w:r>
    </w:p>
    <w:p w14:paraId="04C6FAC4" w14:textId="77777777" w:rsidR="00266DAF" w:rsidRPr="003B26A5" w:rsidRDefault="00266DAF" w:rsidP="00266DAF">
      <w:pPr>
        <w:autoSpaceDE w:val="0"/>
        <w:autoSpaceDN w:val="0"/>
        <w:adjustRightInd w:val="0"/>
        <w:jc w:val="both"/>
        <w:rPr>
          <w:rFonts w:ascii="Arial" w:hAnsi="Arial" w:cs="Arial"/>
          <w:lang w:val="en-IE"/>
        </w:rPr>
      </w:pPr>
    </w:p>
    <w:p w14:paraId="608ED3D1" w14:textId="53A3CD02" w:rsidR="00266DAF" w:rsidRPr="003B26A5" w:rsidRDefault="00266DAF" w:rsidP="003B26A5">
      <w:pPr>
        <w:pStyle w:val="ListParagraph"/>
        <w:numPr>
          <w:ilvl w:val="0"/>
          <w:numId w:val="20"/>
        </w:numPr>
        <w:autoSpaceDE w:val="0"/>
        <w:autoSpaceDN w:val="0"/>
        <w:adjustRightInd w:val="0"/>
        <w:jc w:val="both"/>
        <w:rPr>
          <w:rFonts w:ascii="Arial" w:hAnsi="Arial" w:cs="Arial"/>
        </w:rPr>
      </w:pPr>
      <w:bookmarkStart w:id="0" w:name="_GoBack"/>
      <w:bookmarkEnd w:id="0"/>
      <w:r w:rsidRPr="003B26A5">
        <w:rPr>
          <w:rFonts w:ascii="Arial" w:hAnsi="Arial" w:cs="Arial"/>
        </w:rPr>
        <w:t>The outer and inner envelop</w:t>
      </w:r>
      <w:r w:rsidR="00646B91" w:rsidRPr="003B26A5">
        <w:rPr>
          <w:rFonts w:ascii="Arial" w:hAnsi="Arial" w:cs="Arial"/>
        </w:rPr>
        <w:t>e</w:t>
      </w:r>
      <w:r w:rsidRPr="003B26A5">
        <w:rPr>
          <w:rFonts w:ascii="Arial" w:hAnsi="Arial" w:cs="Arial"/>
        </w:rPr>
        <w:t xml:space="preserve">s bear the information mentioned in </w:t>
      </w:r>
      <w:r w:rsidRPr="003B26A5">
        <w:rPr>
          <w:rFonts w:ascii="Arial" w:hAnsi="Arial" w:cs="Arial"/>
          <w:b/>
          <w:bCs/>
        </w:rPr>
        <w:t>section C.3</w:t>
      </w:r>
      <w:r w:rsidRPr="003B26A5">
        <w:rPr>
          <w:rFonts w:ascii="Arial" w:hAnsi="Arial" w:cs="Arial"/>
        </w:rPr>
        <w:t>.</w:t>
      </w:r>
    </w:p>
    <w:p w14:paraId="6260F5FB" w14:textId="77777777" w:rsidR="00266DAF" w:rsidRPr="00266DAF" w:rsidRDefault="00266DAF" w:rsidP="00266DAF">
      <w:pPr>
        <w:autoSpaceDE w:val="0"/>
        <w:autoSpaceDN w:val="0"/>
        <w:adjustRightInd w:val="0"/>
        <w:jc w:val="both"/>
        <w:rPr>
          <w:rFonts w:ascii="Arial" w:hAnsi="Arial" w:cs="Arial"/>
        </w:rPr>
      </w:pPr>
    </w:p>
    <w:p w14:paraId="3CC97E18" w14:textId="77777777" w:rsidR="00266DAF" w:rsidRPr="00266DAF" w:rsidRDefault="00266DAF" w:rsidP="00266DAF">
      <w:pPr>
        <w:autoSpaceDE w:val="0"/>
        <w:autoSpaceDN w:val="0"/>
        <w:adjustRightInd w:val="0"/>
        <w:jc w:val="both"/>
        <w:rPr>
          <w:rFonts w:ascii="Arial" w:hAnsi="Arial" w:cs="Arial"/>
        </w:rPr>
      </w:pPr>
    </w:p>
    <w:p w14:paraId="18F72561"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t>Name:</w:t>
      </w:r>
    </w:p>
    <w:p w14:paraId="5C61B8BA" w14:textId="77777777" w:rsidR="00266DAF" w:rsidRPr="00266DAF" w:rsidRDefault="00266DAF" w:rsidP="00266DAF">
      <w:pPr>
        <w:autoSpaceDE w:val="0"/>
        <w:autoSpaceDN w:val="0"/>
        <w:adjustRightInd w:val="0"/>
        <w:jc w:val="both"/>
        <w:rPr>
          <w:rFonts w:ascii="Arial" w:hAnsi="Arial" w:cs="Arial"/>
        </w:rPr>
      </w:pPr>
    </w:p>
    <w:p w14:paraId="2BF8A425" w14:textId="77777777" w:rsidR="00266DAF" w:rsidRPr="00266DAF" w:rsidRDefault="00266DAF" w:rsidP="00266DAF">
      <w:pPr>
        <w:autoSpaceDE w:val="0"/>
        <w:autoSpaceDN w:val="0"/>
        <w:adjustRightInd w:val="0"/>
        <w:jc w:val="both"/>
        <w:rPr>
          <w:rFonts w:ascii="Arial" w:hAnsi="Arial" w:cs="Arial"/>
        </w:rPr>
      </w:pPr>
      <w:r w:rsidRPr="00266DAF">
        <w:rPr>
          <w:rFonts w:ascii="Arial" w:hAnsi="Arial" w:cs="Arial"/>
        </w:rPr>
        <w:t>Signature:</w:t>
      </w:r>
    </w:p>
    <w:p w14:paraId="7CBDDA7B" w14:textId="77777777" w:rsidR="00266DAF" w:rsidRPr="00266DAF" w:rsidRDefault="00266DAF" w:rsidP="00266DAF">
      <w:pPr>
        <w:jc w:val="both"/>
        <w:rPr>
          <w:rFonts w:ascii="Arial" w:hAnsi="Arial" w:cs="Arial"/>
        </w:rPr>
      </w:pPr>
      <w:r w:rsidRPr="00266DAF">
        <w:rPr>
          <w:rFonts w:ascii="Arial" w:hAnsi="Arial" w:cs="Arial"/>
        </w:rPr>
        <w:t>Date:</w:t>
      </w:r>
    </w:p>
    <w:p w14:paraId="1A73A5FC" w14:textId="77777777" w:rsidR="00266DAF" w:rsidRPr="00266DAF" w:rsidRDefault="00266DAF" w:rsidP="00266DAF">
      <w:pPr>
        <w:rPr>
          <w:rFonts w:ascii="Arial" w:hAnsi="Arial" w:cs="Arial"/>
        </w:rPr>
      </w:pPr>
    </w:p>
    <w:p w14:paraId="4746FBD2" w14:textId="77777777" w:rsidR="001D2478" w:rsidRPr="00266DAF" w:rsidRDefault="001D2478" w:rsidP="00266DAF">
      <w:pPr>
        <w:rPr>
          <w:rFonts w:ascii="Arial" w:hAnsi="Arial" w:cs="Arial"/>
        </w:rPr>
      </w:pPr>
    </w:p>
    <w:sectPr w:rsidR="001D2478" w:rsidRPr="00266DAF" w:rsidSect="008C4B2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464F" w14:textId="77777777" w:rsidR="009A10C0" w:rsidRDefault="009A10C0" w:rsidP="009A10C0">
      <w:pPr>
        <w:spacing w:after="0" w:line="240" w:lineRule="auto"/>
      </w:pPr>
      <w:r>
        <w:separator/>
      </w:r>
    </w:p>
  </w:endnote>
  <w:endnote w:type="continuationSeparator" w:id="0">
    <w:p w14:paraId="1BC13B55" w14:textId="77777777"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313"/>
      <w:docPartObj>
        <w:docPartGallery w:val="Page Numbers (Bottom of Page)"/>
        <w:docPartUnique/>
      </w:docPartObj>
    </w:sdtPr>
    <w:sdtEndPr>
      <w:rPr>
        <w:rFonts w:ascii="Arial" w:hAnsi="Arial" w:cs="Arial"/>
        <w:noProof/>
        <w:sz w:val="18"/>
        <w:szCs w:val="18"/>
      </w:rPr>
    </w:sdtEndPr>
    <w:sdtContent>
      <w:p w14:paraId="3EC0F04F" w14:textId="77777777" w:rsidR="001640CB" w:rsidRPr="00CA29E2" w:rsidRDefault="001640CB">
        <w:pPr>
          <w:pStyle w:val="Footer"/>
          <w:jc w:val="center"/>
          <w:rPr>
            <w:rFonts w:ascii="Arial" w:hAnsi="Arial" w:cs="Arial"/>
            <w:sz w:val="18"/>
            <w:szCs w:val="18"/>
          </w:rPr>
        </w:pPr>
        <w:r w:rsidRPr="00CA29E2">
          <w:rPr>
            <w:rFonts w:ascii="Arial" w:hAnsi="Arial" w:cs="Arial"/>
            <w:sz w:val="18"/>
            <w:szCs w:val="18"/>
          </w:rPr>
          <w:fldChar w:fldCharType="begin"/>
        </w:r>
        <w:r w:rsidRPr="00CA29E2">
          <w:rPr>
            <w:rFonts w:ascii="Arial" w:hAnsi="Arial" w:cs="Arial"/>
            <w:sz w:val="18"/>
            <w:szCs w:val="18"/>
          </w:rPr>
          <w:instrText xml:space="preserve"> PAGE   \* MERGEFORMAT </w:instrText>
        </w:r>
        <w:r w:rsidRPr="00CA29E2">
          <w:rPr>
            <w:rFonts w:ascii="Arial" w:hAnsi="Arial" w:cs="Arial"/>
            <w:sz w:val="18"/>
            <w:szCs w:val="18"/>
          </w:rPr>
          <w:fldChar w:fldCharType="separate"/>
        </w:r>
        <w:r w:rsidR="003B26A5">
          <w:rPr>
            <w:rFonts w:ascii="Arial" w:hAnsi="Arial" w:cs="Arial"/>
            <w:noProof/>
            <w:sz w:val="18"/>
            <w:szCs w:val="18"/>
          </w:rPr>
          <w:t>2</w:t>
        </w:r>
        <w:r w:rsidRPr="00CA29E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982C" w14:textId="77777777" w:rsidR="009A10C0" w:rsidRDefault="009A10C0" w:rsidP="009A10C0">
      <w:pPr>
        <w:spacing w:after="0" w:line="240" w:lineRule="auto"/>
      </w:pPr>
      <w:r>
        <w:separator/>
      </w:r>
    </w:p>
  </w:footnote>
  <w:footnote w:type="continuationSeparator" w:id="0">
    <w:p w14:paraId="34436277" w14:textId="77777777" w:rsidR="009A10C0" w:rsidRDefault="009A10C0" w:rsidP="009A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E83F" w14:textId="44692F50" w:rsidR="009A10C0" w:rsidRPr="005B035E" w:rsidRDefault="005B035E" w:rsidP="005B035E">
    <w:pPr>
      <w:tabs>
        <w:tab w:val="center" w:pos="4320"/>
        <w:tab w:val="right" w:pos="8640"/>
      </w:tabs>
      <w:spacing w:after="0" w:line="288" w:lineRule="auto"/>
      <w:jc w:val="center"/>
    </w:pPr>
    <w:r>
      <w:rPr>
        <w:rFonts w:ascii="Arial" w:eastAsia="Times New Roman" w:hAnsi="Arial" w:cs="Arial"/>
        <w:sz w:val="16"/>
        <w:szCs w:val="16"/>
      </w:rPr>
      <w:t>CEPOL/PR/OP/2017/001 - Hosting, maintenance and support services for CEPOL’s electronic network (e-Net)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865"/>
    <w:multiLevelType w:val="multilevel"/>
    <w:tmpl w:val="8CEEFF8C"/>
    <w:lvl w:ilvl="0">
      <w:start w:val="1"/>
      <w:numFmt w:val="decimal"/>
      <w:pStyle w:val="Heading1-manual"/>
      <w:lvlText w:val="%1."/>
      <w:lvlJc w:val="left"/>
      <w:pPr>
        <w:tabs>
          <w:tab w:val="num" w:pos="360"/>
        </w:tabs>
        <w:ind w:left="360" w:hanging="360"/>
      </w:pPr>
      <w:rPr>
        <w:rFonts w:hint="default"/>
      </w:rPr>
    </w:lvl>
    <w:lvl w:ilvl="1">
      <w:start w:val="1"/>
      <w:numFmt w:val="decimal"/>
      <w:pStyle w:val="Heading2-Manu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14F37"/>
    <w:multiLevelType w:val="multilevel"/>
    <w:tmpl w:val="E92267B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045"/>
    <w:multiLevelType w:val="multilevel"/>
    <w:tmpl w:val="16201E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B50DA"/>
    <w:multiLevelType w:val="multilevel"/>
    <w:tmpl w:val="F18040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8F276B"/>
    <w:multiLevelType w:val="hybridMultilevel"/>
    <w:tmpl w:val="E6B8C284"/>
    <w:lvl w:ilvl="0" w:tplc="0419000F">
      <w:start w:val="1"/>
      <w:numFmt w:val="decimal"/>
      <w:lvlText w:val="%1."/>
      <w:lvlJc w:val="left"/>
      <w:pPr>
        <w:tabs>
          <w:tab w:val="num" w:pos="360"/>
        </w:tabs>
        <w:ind w:left="360" w:hanging="360"/>
      </w:pPr>
    </w:lvl>
    <w:lvl w:ilvl="1" w:tplc="A92C9E7A">
      <w:start w:val="1"/>
      <w:numFmt w:val="bullet"/>
      <w:lvlText w:val="-"/>
      <w:lvlJc w:val="left"/>
      <w:pPr>
        <w:tabs>
          <w:tab w:val="num" w:pos="1080"/>
        </w:tabs>
        <w:ind w:left="1080" w:hanging="360"/>
      </w:pPr>
      <w:rPr>
        <w:rFonts w:ascii="Palatino Linotype" w:eastAsia="Times New Roman" w:hAnsi="Palatino Linotype" w:cs="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F8778CC"/>
    <w:multiLevelType w:val="hybridMultilevel"/>
    <w:tmpl w:val="EB663884"/>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C67D9"/>
    <w:multiLevelType w:val="multilevel"/>
    <w:tmpl w:val="AFF257E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DE23CD"/>
    <w:multiLevelType w:val="hybridMultilevel"/>
    <w:tmpl w:val="8BC0BC18"/>
    <w:lvl w:ilvl="0" w:tplc="7A7C5A70">
      <w:start w:val="1"/>
      <w:numFmt w:val="decimal"/>
      <w:lvlText w:val="%1."/>
      <w:lvlJc w:val="left"/>
      <w:pPr>
        <w:ind w:left="360" w:hanging="360"/>
      </w:pPr>
      <w:rPr>
        <w:rFonts w:ascii="Palatino Linotype" w:eastAsiaTheme="minorHAnsi" w:hAnsi="Palatino Linotype"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ED138C"/>
    <w:multiLevelType w:val="hybridMultilevel"/>
    <w:tmpl w:val="09F417F4"/>
    <w:lvl w:ilvl="0" w:tplc="758A9F04">
      <w:start w:val="1"/>
      <w:numFmt w:val="bullet"/>
      <w:lvlText w:val=""/>
      <w:lvlJc w:val="left"/>
      <w:pPr>
        <w:ind w:left="720" w:hanging="360"/>
      </w:pPr>
      <w:rPr>
        <w:rFonts w:ascii="Symbol" w:hAnsi="Symbol" w:hint="default"/>
      </w:rPr>
    </w:lvl>
    <w:lvl w:ilvl="1" w:tplc="758A9F0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6F2763"/>
    <w:multiLevelType w:val="multilevel"/>
    <w:tmpl w:val="5B3800D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620E18"/>
    <w:multiLevelType w:val="hybridMultilevel"/>
    <w:tmpl w:val="5B86884C"/>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B1463"/>
    <w:multiLevelType w:val="hybridMultilevel"/>
    <w:tmpl w:val="4DC4EDBC"/>
    <w:lvl w:ilvl="0" w:tplc="758A9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E02312"/>
    <w:multiLevelType w:val="hybridMultilevel"/>
    <w:tmpl w:val="3B86E0C2"/>
    <w:lvl w:ilvl="0" w:tplc="758A9F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62458"/>
    <w:multiLevelType w:val="hybridMultilevel"/>
    <w:tmpl w:val="FD48817C"/>
    <w:lvl w:ilvl="0" w:tplc="758A9F04">
      <w:start w:val="1"/>
      <w:numFmt w:val="bullet"/>
      <w:lvlText w:val=""/>
      <w:lvlJc w:val="left"/>
      <w:pPr>
        <w:ind w:left="720" w:hanging="360"/>
      </w:pPr>
      <w:rPr>
        <w:rFonts w:ascii="Symbol" w:hAnsi="Symbol" w:hint="default"/>
      </w:rPr>
    </w:lvl>
    <w:lvl w:ilvl="1" w:tplc="758A9F0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1550"/>
    <w:multiLevelType w:val="hybridMultilevel"/>
    <w:tmpl w:val="D4F4526A"/>
    <w:lvl w:ilvl="0" w:tplc="2D7A0ABE">
      <w:start w:val="1"/>
      <w:numFmt w:val="decimal"/>
      <w:lvlText w:val="%1."/>
      <w:lvlJc w:val="left"/>
      <w:pPr>
        <w:ind w:left="360" w:hanging="360"/>
      </w:pPr>
      <w:rPr>
        <w:rFonts w:hint="default"/>
        <w:b/>
        <w:sz w:val="22"/>
      </w:rPr>
    </w:lvl>
    <w:lvl w:ilvl="1" w:tplc="A26C8798">
      <w:start w:val="1"/>
      <w:numFmt w:val="lowerLetter"/>
      <w:lvlText w:val="%2."/>
      <w:lvlJc w:val="left"/>
      <w:pPr>
        <w:ind w:left="644" w:hanging="360"/>
      </w:pPr>
      <w:rPr>
        <w:b/>
        <w:sz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
  </w:num>
  <w:num w:numId="3">
    <w:abstractNumId w:val="17"/>
  </w:num>
  <w:num w:numId="4">
    <w:abstractNumId w:val="15"/>
  </w:num>
  <w:num w:numId="5">
    <w:abstractNumId w:val="0"/>
  </w:num>
  <w:num w:numId="6">
    <w:abstractNumId w:val="6"/>
  </w:num>
  <w:num w:numId="7">
    <w:abstractNumId w:val="1"/>
  </w:num>
  <w:num w:numId="8">
    <w:abstractNumId w:val="4"/>
  </w:num>
  <w:num w:numId="9">
    <w:abstractNumId w:val="12"/>
  </w:num>
  <w:num w:numId="10">
    <w:abstractNumId w:val="7"/>
  </w:num>
  <w:num w:numId="11">
    <w:abstractNumId w:val="11"/>
  </w:num>
  <w:num w:numId="12">
    <w:abstractNumId w:val="3"/>
  </w:num>
  <w:num w:numId="13">
    <w:abstractNumId w:val="10"/>
  </w:num>
  <w:num w:numId="14">
    <w:abstractNumId w:val="19"/>
  </w:num>
  <w:num w:numId="15">
    <w:abstractNumId w:val="8"/>
  </w:num>
  <w:num w:numId="16">
    <w:abstractNumId w:val="5"/>
  </w:num>
  <w:num w:numId="17">
    <w:abstractNumId w:val="16"/>
  </w:num>
  <w:num w:numId="18">
    <w:abstractNumId w:val="1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640CB"/>
    <w:rsid w:val="00165EF5"/>
    <w:rsid w:val="001D2478"/>
    <w:rsid w:val="001F077F"/>
    <w:rsid w:val="00212A13"/>
    <w:rsid w:val="00266DAF"/>
    <w:rsid w:val="002A1A88"/>
    <w:rsid w:val="002A4DB0"/>
    <w:rsid w:val="002E2B46"/>
    <w:rsid w:val="002E4086"/>
    <w:rsid w:val="002E5598"/>
    <w:rsid w:val="003773CC"/>
    <w:rsid w:val="003B26A5"/>
    <w:rsid w:val="004F73B9"/>
    <w:rsid w:val="005B035E"/>
    <w:rsid w:val="005D1AD5"/>
    <w:rsid w:val="00605C8F"/>
    <w:rsid w:val="00646B91"/>
    <w:rsid w:val="007838F7"/>
    <w:rsid w:val="008026CC"/>
    <w:rsid w:val="00834D6F"/>
    <w:rsid w:val="00892512"/>
    <w:rsid w:val="008C4B2F"/>
    <w:rsid w:val="009A10C0"/>
    <w:rsid w:val="009F2211"/>
    <w:rsid w:val="00B4073A"/>
    <w:rsid w:val="00B90187"/>
    <w:rsid w:val="00CA29E2"/>
    <w:rsid w:val="00CC5BA4"/>
    <w:rsid w:val="00E07215"/>
    <w:rsid w:val="00E62B91"/>
    <w:rsid w:val="00E81B8E"/>
    <w:rsid w:val="00E916FD"/>
    <w:rsid w:val="00F00004"/>
    <w:rsid w:val="00FA2D7B"/>
    <w:rsid w:val="00FB2285"/>
    <w:rsid w:val="00FD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FE88"/>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0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customStyle="1" w:styleId="Heading2-Manual">
    <w:name w:val="Heading 2 - Manual"/>
    <w:basedOn w:val="Heading3"/>
    <w:rsid w:val="00F00004"/>
    <w:pPr>
      <w:keepLines w:val="0"/>
      <w:numPr>
        <w:ilvl w:val="1"/>
        <w:numId w:val="5"/>
      </w:numPr>
      <w:pBdr>
        <w:top w:val="single" w:sz="4" w:space="1" w:color="auto"/>
        <w:bottom w:val="single" w:sz="4" w:space="1" w:color="auto"/>
      </w:pBdr>
      <w:tabs>
        <w:tab w:val="clear" w:pos="792"/>
        <w:tab w:val="num" w:pos="360"/>
      </w:tabs>
      <w:spacing w:before="240" w:after="60" w:line="240" w:lineRule="auto"/>
      <w:ind w:left="0" w:firstLine="0"/>
    </w:pPr>
    <w:rPr>
      <w:rFonts w:ascii="Arial" w:eastAsia="Times New Roman" w:hAnsi="Arial" w:cs="Arial"/>
      <w:b/>
      <w:bCs/>
      <w:color w:val="auto"/>
      <w:sz w:val="26"/>
      <w:szCs w:val="26"/>
    </w:rPr>
  </w:style>
  <w:style w:type="paragraph" w:customStyle="1" w:styleId="Heading1-manual">
    <w:name w:val="Heading 1 - manual"/>
    <w:basedOn w:val="Heading2"/>
    <w:rsid w:val="00F00004"/>
    <w:pPr>
      <w:keepLines w:val="0"/>
      <w:numPr>
        <w:numId w:val="5"/>
      </w:numPr>
      <w:tabs>
        <w:tab w:val="clear" w:pos="360"/>
      </w:tabs>
      <w:spacing w:before="240" w:after="60" w:line="240" w:lineRule="auto"/>
      <w:ind w:left="0" w:firstLine="0"/>
    </w:pPr>
    <w:rPr>
      <w:rFonts w:ascii="Arial" w:eastAsia="Times New Roman" w:hAnsi="Arial" w:cs="Arial"/>
      <w:b/>
      <w:bCs/>
      <w:i/>
      <w:iCs/>
      <w:color w:val="auto"/>
      <w:sz w:val="28"/>
      <w:szCs w:val="28"/>
    </w:rPr>
  </w:style>
  <w:style w:type="character" w:customStyle="1" w:styleId="Heading3Char">
    <w:name w:val="Heading 3 Char"/>
    <w:basedOn w:val="DefaultParagraphFont"/>
    <w:link w:val="Heading3"/>
    <w:uiPriority w:val="9"/>
    <w:semiHidden/>
    <w:rsid w:val="00F0000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00004"/>
    <w:rPr>
      <w:rFonts w:asciiTheme="majorHAnsi" w:eastAsiaTheme="majorEastAsia" w:hAnsiTheme="majorHAnsi" w:cstheme="majorBidi"/>
      <w:color w:val="2E74B5" w:themeColor="accent1" w:themeShade="BF"/>
      <w:sz w:val="26"/>
      <w:szCs w:val="26"/>
    </w:rPr>
  </w:style>
  <w:style w:type="paragraph" w:styleId="ListNumber2">
    <w:name w:val="List Number 2"/>
    <w:basedOn w:val="Normal"/>
    <w:rsid w:val="002A4DB0"/>
    <w:pPr>
      <w:numPr>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2">
    <w:name w:val="List Number 2 (Level 2)"/>
    <w:basedOn w:val="Normal"/>
    <w:rsid w:val="002A4DB0"/>
    <w:pPr>
      <w:numPr>
        <w:ilvl w:val="1"/>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3">
    <w:name w:val="List Number 2 (Level 3)"/>
    <w:basedOn w:val="Normal"/>
    <w:rsid w:val="002A4DB0"/>
    <w:pPr>
      <w:numPr>
        <w:ilvl w:val="2"/>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4">
    <w:name w:val="List Number 2 (Level 4)"/>
    <w:basedOn w:val="Normal"/>
    <w:rsid w:val="002A4DB0"/>
    <w:pPr>
      <w:numPr>
        <w:ilvl w:val="3"/>
        <w:numId w:val="13"/>
      </w:numPr>
      <w:spacing w:after="240" w:line="240" w:lineRule="auto"/>
      <w:jc w:val="both"/>
    </w:pPr>
    <w:rPr>
      <w:rFonts w:ascii="Times New Roman" w:eastAsia="Times New Roman" w:hAnsi="Times New Roman" w:cs="Times New Roman"/>
      <w:sz w:val="24"/>
      <w:szCs w:val="20"/>
      <w:lang w:val="fr-FR" w:eastAsia="en-GB"/>
    </w:rPr>
  </w:style>
  <w:style w:type="table" w:styleId="TableGrid">
    <w:name w:val="Table Grid"/>
    <w:basedOn w:val="TableNormal"/>
    <w:uiPriority w:val="39"/>
    <w:rsid w:val="00C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D6F"/>
    <w:rPr>
      <w:sz w:val="16"/>
      <w:szCs w:val="16"/>
    </w:rPr>
  </w:style>
  <w:style w:type="paragraph" w:styleId="CommentText">
    <w:name w:val="annotation text"/>
    <w:basedOn w:val="Normal"/>
    <w:link w:val="CommentTextChar"/>
    <w:uiPriority w:val="99"/>
    <w:semiHidden/>
    <w:unhideWhenUsed/>
    <w:rsid w:val="00834D6F"/>
    <w:pPr>
      <w:spacing w:line="240" w:lineRule="auto"/>
    </w:pPr>
    <w:rPr>
      <w:sz w:val="20"/>
      <w:szCs w:val="20"/>
    </w:rPr>
  </w:style>
  <w:style w:type="character" w:customStyle="1" w:styleId="CommentTextChar">
    <w:name w:val="Comment Text Char"/>
    <w:basedOn w:val="DefaultParagraphFont"/>
    <w:link w:val="CommentText"/>
    <w:uiPriority w:val="99"/>
    <w:semiHidden/>
    <w:rsid w:val="00834D6F"/>
    <w:rPr>
      <w:sz w:val="20"/>
      <w:szCs w:val="20"/>
    </w:rPr>
  </w:style>
  <w:style w:type="paragraph" w:styleId="CommentSubject">
    <w:name w:val="annotation subject"/>
    <w:basedOn w:val="CommentText"/>
    <w:next w:val="CommentText"/>
    <w:link w:val="CommentSubjectChar"/>
    <w:uiPriority w:val="99"/>
    <w:semiHidden/>
    <w:unhideWhenUsed/>
    <w:rsid w:val="00834D6F"/>
    <w:rPr>
      <w:b/>
      <w:bCs/>
    </w:rPr>
  </w:style>
  <w:style w:type="character" w:customStyle="1" w:styleId="CommentSubjectChar">
    <w:name w:val="Comment Subject Char"/>
    <w:basedOn w:val="CommentTextChar"/>
    <w:link w:val="CommentSubject"/>
    <w:uiPriority w:val="99"/>
    <w:semiHidden/>
    <w:rsid w:val="00834D6F"/>
    <w:rPr>
      <w:b/>
      <w:bCs/>
      <w:sz w:val="20"/>
      <w:szCs w:val="20"/>
    </w:rPr>
  </w:style>
  <w:style w:type="paragraph" w:styleId="BalloonText">
    <w:name w:val="Balloon Text"/>
    <w:basedOn w:val="Normal"/>
    <w:link w:val="BalloonTextChar"/>
    <w:uiPriority w:val="99"/>
    <w:semiHidden/>
    <w:unhideWhenUsed/>
    <w:rsid w:val="0083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6F"/>
    <w:rPr>
      <w:rFonts w:ascii="Segoe UI" w:hAnsi="Segoe UI" w:cs="Segoe UI"/>
      <w:sz w:val="18"/>
      <w:szCs w:val="18"/>
    </w:rPr>
  </w:style>
  <w:style w:type="paragraph" w:styleId="Caption">
    <w:name w:val="caption"/>
    <w:basedOn w:val="Normal"/>
    <w:next w:val="Normal"/>
    <w:uiPriority w:val="35"/>
    <w:unhideWhenUsed/>
    <w:qFormat/>
    <w:rsid w:val="003773C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D1AD5"/>
    <w:rPr>
      <w:rFonts w:ascii="Times New Roman" w:eastAsia="Times New Roman" w:hAnsi="Times New Roman" w:cs="Times New Roman"/>
      <w:b/>
      <w:bCs/>
      <w:kern w:val="36"/>
      <w:sz w:val="48"/>
      <w:szCs w:val="48"/>
      <w:lang w:eastAsia="en-GB"/>
    </w:rPr>
  </w:style>
  <w:style w:type="character" w:customStyle="1" w:styleId="details">
    <w:name w:val="details"/>
    <w:basedOn w:val="DefaultParagraphFont"/>
    <w:rsid w:val="005D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715">
      <w:bodyDiv w:val="1"/>
      <w:marLeft w:val="0"/>
      <w:marRight w:val="0"/>
      <w:marTop w:val="0"/>
      <w:marBottom w:val="0"/>
      <w:divBdr>
        <w:top w:val="none" w:sz="0" w:space="0" w:color="auto"/>
        <w:left w:val="none" w:sz="0" w:space="0" w:color="auto"/>
        <w:bottom w:val="none" w:sz="0" w:space="0" w:color="auto"/>
        <w:right w:val="none" w:sz="0" w:space="0" w:color="auto"/>
      </w:divBdr>
    </w:div>
    <w:div w:id="15366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D951-E4C3-4A31-81D6-0F493D2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Silvia Fait</cp:lastModifiedBy>
  <cp:revision>5</cp:revision>
  <dcterms:created xsi:type="dcterms:W3CDTF">2017-02-07T17:28:00Z</dcterms:created>
  <dcterms:modified xsi:type="dcterms:W3CDTF">2017-03-09T12:54:00Z</dcterms:modified>
</cp:coreProperties>
</file>