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17" w:rsidRPr="00AB7017" w:rsidRDefault="00AB7017" w:rsidP="004A4B4A">
      <w:pPr>
        <w:spacing w:before="120" w:after="120"/>
        <w:jc w:val="center"/>
        <w:rPr>
          <w:rFonts w:ascii="Palatino Linotype" w:hAnsi="Palatino Linotype" w:cs="Arial"/>
          <w:b/>
          <w:noProof/>
        </w:rPr>
      </w:pPr>
      <w:r w:rsidRPr="00AB7017">
        <w:rPr>
          <w:rFonts w:ascii="Palatino Linotype" w:hAnsi="Palatino Linotype" w:cs="Arial"/>
          <w:b/>
          <w:noProof/>
        </w:rPr>
        <w:t>ANNEX IV</w:t>
      </w:r>
      <w:bookmarkStart w:id="0" w:name="_GoBack"/>
      <w:bookmarkEnd w:id="0"/>
    </w:p>
    <w:p w:rsidR="00DA410F" w:rsidRPr="00AB7017" w:rsidRDefault="00DA410F" w:rsidP="004A4B4A">
      <w:pPr>
        <w:spacing w:before="120" w:after="120"/>
        <w:jc w:val="center"/>
        <w:rPr>
          <w:rFonts w:ascii="Palatino Linotype" w:hAnsi="Palatino Linotype" w:cs="Arial"/>
          <w:b/>
          <w:noProof/>
        </w:rPr>
      </w:pPr>
      <w:r w:rsidRPr="00AB7017">
        <w:rPr>
          <w:rFonts w:ascii="Palatino Linotype" w:hAnsi="Palatino Linotype" w:cs="Arial"/>
          <w:b/>
          <w:noProof/>
        </w:rPr>
        <w:t>Declara</w:t>
      </w:r>
      <w:r w:rsidR="00CC78A2" w:rsidRPr="00AB7017">
        <w:rPr>
          <w:rFonts w:ascii="Palatino Linotype" w:hAnsi="Palatino Linotype" w:cs="Arial"/>
          <w:b/>
          <w:noProof/>
        </w:rPr>
        <w:t>tion o</w:t>
      </w:r>
      <w:r w:rsidR="00CA5311" w:rsidRPr="00AB7017">
        <w:rPr>
          <w:rFonts w:ascii="Palatino Linotype" w:hAnsi="Palatino Linotype" w:cs="Arial"/>
          <w:b/>
          <w:noProof/>
        </w:rPr>
        <w:t>n</w:t>
      </w:r>
      <w:r w:rsidR="00CC78A2" w:rsidRPr="00AB7017">
        <w:rPr>
          <w:rFonts w:ascii="Palatino Linotype" w:hAnsi="Palatino Linotype" w:cs="Arial"/>
          <w:b/>
          <w:noProof/>
        </w:rPr>
        <w:t xml:space="preserve"> honour</w:t>
      </w:r>
      <w:r w:rsidR="009765C0" w:rsidRPr="00AB7017">
        <w:rPr>
          <w:rFonts w:ascii="Palatino Linotype" w:hAnsi="Palatino Linotype" w:cs="Arial"/>
          <w:b/>
          <w:noProof/>
        </w:rPr>
        <w:t xml:space="preserve"> on</w:t>
      </w:r>
      <w:r w:rsidR="00CC78A2" w:rsidRPr="00AB7017">
        <w:rPr>
          <w:rFonts w:ascii="Palatino Linotype" w:hAnsi="Palatino Linotype" w:cs="Arial"/>
          <w:b/>
          <w:noProof/>
        </w:rPr>
        <w:br/>
      </w:r>
      <w:r w:rsidR="00113FC7" w:rsidRPr="00AB7017">
        <w:rPr>
          <w:rFonts w:ascii="Palatino Linotype" w:hAnsi="Palatino Linotype" w:cs="Arial"/>
          <w:b/>
          <w:noProof/>
        </w:rPr>
        <w:t>e</w:t>
      </w:r>
      <w:r w:rsidRPr="00AB7017">
        <w:rPr>
          <w:rFonts w:ascii="Palatino Linotype" w:hAnsi="Palatino Linotype" w:cs="Arial"/>
          <w:b/>
          <w:noProof/>
        </w:rPr>
        <w:t xml:space="preserve">xclusion </w:t>
      </w:r>
      <w:r w:rsidR="00214D18" w:rsidRPr="00AB7017">
        <w:rPr>
          <w:rFonts w:ascii="Palatino Linotype" w:hAnsi="Palatino Linotype" w:cs="Arial"/>
          <w:b/>
          <w:noProof/>
        </w:rPr>
        <w:t>c</w:t>
      </w:r>
      <w:r w:rsidRPr="00AB7017">
        <w:rPr>
          <w:rFonts w:ascii="Palatino Linotype" w:hAnsi="Palatino Linotype" w:cs="Arial"/>
          <w:b/>
          <w:noProof/>
        </w:rPr>
        <w:t xml:space="preserve">riteria and </w:t>
      </w:r>
      <w:r w:rsidR="007C10CF" w:rsidRPr="00AB7017">
        <w:rPr>
          <w:rFonts w:ascii="Palatino Linotype" w:hAnsi="Palatino Linotype" w:cs="Arial"/>
          <w:b/>
          <w:noProof/>
        </w:rPr>
        <w:t>selection criteria</w:t>
      </w:r>
    </w:p>
    <w:p w:rsidR="001F740C" w:rsidRPr="00AB7017" w:rsidRDefault="001F740C" w:rsidP="001F740C">
      <w:pPr>
        <w:rPr>
          <w:rFonts w:ascii="Palatino Linotype" w:hAnsi="Palatino Linotype"/>
          <w:i/>
          <w:noProof/>
          <w:highlight w:val="lightGray"/>
        </w:rPr>
      </w:pPr>
    </w:p>
    <w:p w:rsidR="001F740C" w:rsidRPr="001F740C" w:rsidRDefault="001F740C" w:rsidP="001F740C">
      <w:pPr>
        <w:rPr>
          <w:rFonts w:ascii="Palatino Linotype" w:hAnsi="Palatino Linotype"/>
          <w:i/>
          <w:noProof/>
        </w:rPr>
      </w:pPr>
      <w:r w:rsidRPr="001F740C">
        <w:rPr>
          <w:rFonts w:ascii="Palatino Linotype" w:hAnsi="Palatino Linotype"/>
          <w:i/>
          <w:noProof/>
          <w:sz w:val="22"/>
        </w:rPr>
        <w:t>Comments [</w:t>
      </w:r>
      <w:r w:rsidRPr="001F740C">
        <w:rPr>
          <w:rFonts w:ascii="Palatino Linotype" w:hAnsi="Palatino Linotype"/>
          <w:i/>
          <w:noProof/>
          <w:sz w:val="22"/>
          <w:shd w:val="clear" w:color="auto" w:fill="BFBFBF" w:themeFill="background1" w:themeFillShade="BF"/>
        </w:rPr>
        <w:t>in grey italics in square brackets</w:t>
      </w:r>
      <w:r w:rsidRPr="001F740C">
        <w:rPr>
          <w:rFonts w:ascii="Palatino Linotype" w:hAnsi="Palatino Linotype"/>
          <w:i/>
          <w:noProof/>
          <w:sz w:val="22"/>
        </w:rPr>
        <w:t>] are to be deleted and/or replaced by appropriate data.</w:t>
      </w:r>
    </w:p>
    <w:p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Tr="006B7C44">
        <w:tc>
          <w:tcPr>
            <w:tcW w:w="3936"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6B7C44">
        <w:tc>
          <w:tcPr>
            <w:tcW w:w="3936" w:type="dxa"/>
            <w:shd w:val="clear" w:color="auto" w:fill="auto"/>
          </w:tcPr>
          <w:p w:rsidR="003154CD" w:rsidRDefault="005E41BC" w:rsidP="00583379">
            <w:pPr>
              <w:jc w:val="both"/>
            </w:pPr>
            <w:r w:rsidRPr="00892BCE">
              <w:t xml:space="preserve">ID or passport number: </w:t>
            </w:r>
          </w:p>
          <w:p w:rsidR="005E41BC" w:rsidRPr="005E41BC" w:rsidRDefault="005E41BC" w:rsidP="00583379">
            <w:pPr>
              <w:jc w:val="both"/>
              <w:rPr>
                <w:noProof/>
              </w:rPr>
            </w:pPr>
          </w:p>
        </w:tc>
        <w:tc>
          <w:tcPr>
            <w:tcW w:w="5811"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tc>
      </w:tr>
    </w:tbl>
    <w:p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Tr="007C6650">
        <w:tc>
          <w:tcPr>
            <w:tcW w:w="9755" w:type="dxa"/>
            <w:gridSpan w:val="3"/>
            <w:shd w:val="clear" w:color="auto" w:fill="auto"/>
          </w:tcPr>
          <w:p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rsidTr="007C6650">
        <w:tc>
          <w:tcPr>
            <w:tcW w:w="8472" w:type="dxa"/>
            <w:shd w:val="clear" w:color="auto" w:fill="auto"/>
            <w:vAlign w:val="center"/>
          </w:tcPr>
          <w:p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rsidR="00E33977" w:rsidRDefault="00E33977" w:rsidP="00583379">
            <w:pPr>
              <w:spacing w:before="240" w:after="120"/>
              <w:jc w:val="both"/>
              <w:rPr>
                <w:noProof/>
              </w:rPr>
            </w:pPr>
            <w:r>
              <w:rPr>
                <w:noProof/>
              </w:rPr>
              <w:t>YES</w:t>
            </w:r>
          </w:p>
        </w:tc>
        <w:tc>
          <w:tcPr>
            <w:tcW w:w="613" w:type="dxa"/>
            <w:shd w:val="clear" w:color="auto" w:fill="auto"/>
          </w:tcPr>
          <w:p w:rsidR="00E33977" w:rsidRDefault="00E33977" w:rsidP="00583379">
            <w:pPr>
              <w:spacing w:before="240" w:after="120"/>
              <w:jc w:val="both"/>
              <w:rPr>
                <w:noProof/>
              </w:rPr>
            </w:pPr>
            <w:r>
              <w:rPr>
                <w:noProof/>
              </w:rPr>
              <w:t>NO</w:t>
            </w:r>
          </w:p>
        </w:tc>
      </w:tr>
      <w:tr w:rsidR="00E33977" w:rsidTr="007C6650">
        <w:tc>
          <w:tcPr>
            <w:tcW w:w="8472"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E33977" w:rsidTr="007C6650">
        <w:tc>
          <w:tcPr>
            <w:tcW w:w="8472" w:type="dxa"/>
            <w:shd w:val="clear" w:color="auto" w:fill="auto"/>
          </w:tcPr>
          <w:p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AB7017">
              <w:rPr>
                <w:noProof/>
              </w:rPr>
            </w:r>
            <w:r w:rsidR="00AB7017">
              <w:rPr>
                <w:noProof/>
              </w:rPr>
              <w:fldChar w:fldCharType="separate"/>
            </w:r>
            <w:r>
              <w:rPr>
                <w:noProof/>
              </w:rPr>
              <w:fldChar w:fldCharType="end"/>
            </w:r>
            <w:bookmarkEnd w:id="1"/>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7D7A5F" w:rsidRDefault="007D7A5F" w:rsidP="00583379">
            <w:pPr>
              <w:spacing w:before="240" w:after="120"/>
              <w:jc w:val="both"/>
              <w:rPr>
                <w:noProof/>
              </w:rPr>
            </w:pPr>
          </w:p>
        </w:tc>
      </w:tr>
      <w:tr w:rsidR="00E33977" w:rsidTr="007C6650">
        <w:tc>
          <w:tcPr>
            <w:tcW w:w="8472"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7D7A5F" w:rsidTr="007C6650">
        <w:tc>
          <w:tcPr>
            <w:tcW w:w="8472" w:type="dxa"/>
            <w:shd w:val="clear" w:color="auto" w:fill="auto"/>
          </w:tcPr>
          <w:p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rsidR="007D7A5F" w:rsidRDefault="007D7A5F" w:rsidP="00583379">
            <w:pPr>
              <w:spacing w:before="240" w:after="120"/>
              <w:jc w:val="both"/>
              <w:rPr>
                <w:noProof/>
              </w:rPr>
            </w:pP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116FF1" w:rsidTr="007C6650">
        <w:tc>
          <w:tcPr>
            <w:tcW w:w="8472" w:type="dxa"/>
            <w:shd w:val="clear" w:color="auto" w:fill="auto"/>
          </w:tcPr>
          <w:p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rsidR="00116FF1" w:rsidRPr="00583379" w:rsidRDefault="00116FF1" w:rsidP="006C6DFD">
            <w:pPr>
              <w:pStyle w:val="Text1"/>
              <w:spacing w:before="40" w:after="40"/>
              <w:ind w:left="360"/>
              <w:rPr>
                <w:color w:val="000000"/>
              </w:rPr>
            </w:pPr>
          </w:p>
        </w:tc>
        <w:tc>
          <w:tcPr>
            <w:tcW w:w="670"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3"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Tr="007C6650">
        <w:tc>
          <w:tcPr>
            <w:tcW w:w="9756" w:type="dxa"/>
            <w:gridSpan w:val="3"/>
            <w:shd w:val="clear" w:color="auto" w:fill="auto"/>
          </w:tcPr>
          <w:p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rsidTr="007C6650">
        <w:tc>
          <w:tcPr>
            <w:tcW w:w="8472" w:type="dxa"/>
            <w:shd w:val="clear" w:color="auto" w:fill="auto"/>
            <w:vAlign w:val="center"/>
          </w:tcPr>
          <w:p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rsidR="00DF45B2" w:rsidRDefault="00DF45B2" w:rsidP="00583379">
            <w:pPr>
              <w:spacing w:before="240" w:after="120"/>
              <w:jc w:val="both"/>
              <w:rPr>
                <w:noProof/>
              </w:rPr>
            </w:pPr>
            <w:r>
              <w:rPr>
                <w:noProof/>
              </w:rPr>
              <w:t>YES</w:t>
            </w:r>
          </w:p>
        </w:tc>
        <w:tc>
          <w:tcPr>
            <w:tcW w:w="614" w:type="dxa"/>
            <w:shd w:val="clear" w:color="auto" w:fill="auto"/>
          </w:tcPr>
          <w:p w:rsidR="00DF45B2" w:rsidRDefault="00DF45B2" w:rsidP="00583379">
            <w:pPr>
              <w:spacing w:before="240" w:after="120"/>
              <w:jc w:val="both"/>
              <w:rPr>
                <w:noProof/>
              </w:rPr>
            </w:pPr>
            <w:r>
              <w:rPr>
                <w:noProof/>
              </w:rPr>
              <w:t>NO</w:t>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Tr="00000D90">
        <w:tc>
          <w:tcPr>
            <w:tcW w:w="9661" w:type="dxa"/>
            <w:gridSpan w:val="4"/>
          </w:tcPr>
          <w:p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rsidTr="004B29AF">
        <w:tc>
          <w:tcPr>
            <w:tcW w:w="7747" w:type="dxa"/>
            <w:shd w:val="clear" w:color="auto" w:fill="auto"/>
            <w:vAlign w:val="center"/>
          </w:tcPr>
          <w:p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rsidR="004B29AF" w:rsidRDefault="004B29AF" w:rsidP="00583379">
            <w:pPr>
              <w:spacing w:before="240" w:after="120"/>
              <w:jc w:val="both"/>
              <w:rPr>
                <w:noProof/>
              </w:rPr>
            </w:pPr>
            <w:r>
              <w:rPr>
                <w:noProof/>
              </w:rPr>
              <w:t>YES</w:t>
            </w:r>
          </w:p>
        </w:tc>
        <w:tc>
          <w:tcPr>
            <w:tcW w:w="614" w:type="dxa"/>
          </w:tcPr>
          <w:p w:rsidR="004B29AF" w:rsidRDefault="004B29AF" w:rsidP="00583379">
            <w:pPr>
              <w:spacing w:before="240" w:after="120"/>
              <w:jc w:val="both"/>
              <w:rPr>
                <w:noProof/>
              </w:rPr>
            </w:pPr>
            <w:r>
              <w:rPr>
                <w:noProof/>
              </w:rPr>
              <w:t>NO</w:t>
            </w:r>
          </w:p>
        </w:tc>
        <w:tc>
          <w:tcPr>
            <w:tcW w:w="630" w:type="dxa"/>
            <w:shd w:val="clear" w:color="auto" w:fill="auto"/>
          </w:tcPr>
          <w:p w:rsidR="004B29AF" w:rsidRDefault="004B29AF" w:rsidP="00583379">
            <w:pPr>
              <w:spacing w:before="240" w:after="120"/>
              <w:jc w:val="both"/>
              <w:rPr>
                <w:noProof/>
              </w:rPr>
            </w:pPr>
            <w:r>
              <w:rPr>
                <w:noProof/>
              </w:rPr>
              <w:t>N/A</w:t>
            </w:r>
          </w:p>
        </w:tc>
      </w:tr>
      <w:tr w:rsidR="004B29AF" w:rsidTr="004B29AF">
        <w:tc>
          <w:tcPr>
            <w:tcW w:w="7747" w:type="dxa"/>
            <w:shd w:val="clear" w:color="auto" w:fill="auto"/>
            <w:vAlign w:val="center"/>
          </w:tcPr>
          <w:p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4B29AF" w:rsidTr="004B29AF">
        <w:tc>
          <w:tcPr>
            <w:tcW w:w="7747" w:type="dxa"/>
            <w:shd w:val="clear" w:color="auto" w:fill="auto"/>
            <w:vAlign w:val="center"/>
          </w:tcPr>
          <w:p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Tr="007C6650">
        <w:tc>
          <w:tcPr>
            <w:tcW w:w="9756" w:type="dxa"/>
            <w:gridSpan w:val="3"/>
            <w:shd w:val="clear" w:color="auto" w:fill="auto"/>
          </w:tcPr>
          <w:p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rsidTr="007C6650">
        <w:tc>
          <w:tcPr>
            <w:tcW w:w="847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14" w:type="dxa"/>
            <w:shd w:val="clear" w:color="auto" w:fill="auto"/>
          </w:tcPr>
          <w:p w:rsidR="007D7A5F" w:rsidRDefault="007D7A5F" w:rsidP="00583379">
            <w:pPr>
              <w:spacing w:before="240" w:after="120"/>
              <w:jc w:val="both"/>
              <w:rPr>
                <w:noProof/>
              </w:rPr>
            </w:pPr>
            <w:r>
              <w:rPr>
                <w:noProof/>
              </w:rPr>
              <w:t>NO</w:t>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7D7A5F" w:rsidTr="007C6650">
        <w:tc>
          <w:tcPr>
            <w:tcW w:w="8472" w:type="dxa"/>
            <w:shd w:val="clear" w:color="auto" w:fill="auto"/>
          </w:tcPr>
          <w:p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rsidR="007D7A5F" w:rsidRDefault="007D7A5F" w:rsidP="007C6650">
            <w:pPr>
              <w:spacing w:before="40" w:after="40"/>
              <w:jc w:val="both"/>
              <w:rPr>
                <w:noProof/>
              </w:rPr>
            </w:pPr>
          </w:p>
        </w:tc>
      </w:tr>
    </w:tbl>
    <w:bookmarkEnd w:id="29"/>
    <w:p w:rsidR="00F96EAB" w:rsidRPr="006C6DFD" w:rsidRDefault="00F96EAB" w:rsidP="006C6DFD">
      <w:pPr>
        <w:spacing w:before="240" w:after="120"/>
        <w:jc w:val="both"/>
        <w:rPr>
          <w:b/>
          <w:smallCaps/>
          <w:noProof/>
        </w:rPr>
      </w:pPr>
      <w:r w:rsidRPr="006C6DFD">
        <w:rPr>
          <w:b/>
          <w:smallCaps/>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appropriately illustrates </w:t>
      </w:r>
      <w:r w:rsidRPr="007D7A5F">
        <w:rPr>
          <w:bCs/>
          <w:iCs/>
          <w:color w:val="000000"/>
        </w:rPr>
        <w:lastRenderedPageBreak/>
        <w:t>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rsidR="00F96EAB" w:rsidRPr="007D7A5F" w:rsidRDefault="00F96EAB" w:rsidP="006C6DFD">
      <w:pPr>
        <w:spacing w:before="240" w:after="120"/>
        <w:jc w:val="both"/>
        <w:rPr>
          <w:noProof/>
        </w:rPr>
      </w:pPr>
      <w:r>
        <w:rPr>
          <w:b/>
          <w:smallCaps/>
          <w:noProof/>
        </w:rPr>
        <w:t>Evidence upon request</w:t>
      </w:r>
    </w:p>
    <w:p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rsidR="00DA410F" w:rsidRDefault="00DA410F" w:rsidP="004D4F4A">
      <w:pPr>
        <w:spacing w:before="40" w:after="40"/>
        <w:rPr>
          <w:noProof/>
        </w:rPr>
      </w:pPr>
    </w:p>
    <w:p w:rsidR="007D7A5F" w:rsidRDefault="007D7A5F" w:rsidP="004D4F4A">
      <w:pPr>
        <w:spacing w:before="40" w:after="40"/>
        <w:rPr>
          <w:noProof/>
        </w:rPr>
        <w:sectPr w:rsidR="007D7A5F" w:rsidSect="007C6650">
          <w:headerReference w:type="default" r:id="rId12"/>
          <w:foot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Tr="00583379">
        <w:tc>
          <w:tcPr>
            <w:tcW w:w="10654" w:type="dxa"/>
            <w:gridSpan w:val="3"/>
            <w:shd w:val="clear" w:color="auto" w:fill="auto"/>
          </w:tcPr>
          <w:p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7D7A5F" w:rsidTr="00583379">
        <w:tc>
          <w:tcPr>
            <w:tcW w:w="9362" w:type="dxa"/>
            <w:shd w:val="clear" w:color="auto" w:fill="auto"/>
          </w:tcPr>
          <w:p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7D7A5F" w:rsidTr="00583379">
        <w:tc>
          <w:tcPr>
            <w:tcW w:w="9362" w:type="dxa"/>
            <w:shd w:val="clear" w:color="auto" w:fill="auto"/>
          </w:tcPr>
          <w:p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583379" w:rsidTr="00583379">
        <w:tc>
          <w:tcPr>
            <w:tcW w:w="9362" w:type="dxa"/>
            <w:shd w:val="clear" w:color="auto" w:fill="auto"/>
          </w:tcPr>
          <w:p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670"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c>
          <w:tcPr>
            <w:tcW w:w="622"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7017">
              <w:rPr>
                <w:noProof/>
              </w:rPr>
            </w:r>
            <w:r w:rsidR="00AB7017">
              <w:rPr>
                <w:noProof/>
              </w:rPr>
              <w:fldChar w:fldCharType="separate"/>
            </w:r>
            <w:r>
              <w:rPr>
                <w:noProof/>
              </w:rPr>
              <w:fldChar w:fldCharType="end"/>
            </w:r>
          </w:p>
        </w:tc>
      </w:tr>
      <w:tr w:rsidR="00583379" w:rsidTr="00583379">
        <w:tc>
          <w:tcPr>
            <w:tcW w:w="9362" w:type="dxa"/>
            <w:shd w:val="clear" w:color="auto" w:fill="auto"/>
          </w:tcPr>
          <w:p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583379" w:rsidRDefault="00583379" w:rsidP="00583379">
            <w:pPr>
              <w:spacing w:before="240" w:after="120"/>
              <w:jc w:val="both"/>
              <w:rPr>
                <w:noProof/>
              </w:rPr>
            </w:pPr>
          </w:p>
        </w:tc>
      </w:tr>
    </w:tbl>
    <w:p w:rsidR="007D7A5F" w:rsidRDefault="007D7A5F" w:rsidP="004D4F4A">
      <w:pPr>
        <w:spacing w:before="40" w:after="40"/>
        <w:jc w:val="both"/>
        <w:rPr>
          <w:noProof/>
        </w:rPr>
      </w:pPr>
    </w:p>
    <w:p w:rsidR="00DA410F" w:rsidRPr="00F76ABA" w:rsidRDefault="00DA410F"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90" w:rsidRDefault="00000D90">
      <w:r>
        <w:separator/>
      </w:r>
    </w:p>
  </w:endnote>
  <w:endnote w:type="continuationSeparator" w:id="0">
    <w:p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AB7017">
      <w:rPr>
        <w:rFonts w:ascii="Palatino Linotype" w:hAnsi="Palatino Linotype"/>
        <w:noProof/>
        <w:sz w:val="18"/>
        <w:szCs w:val="18"/>
      </w:rPr>
      <w:t>4</w:t>
    </w:r>
    <w:r w:rsidRPr="001F740C">
      <w:rPr>
        <w:rFonts w:ascii="Palatino Linotype" w:hAnsi="Palatino Linotype"/>
        <w:noProof/>
        <w:sz w:val="18"/>
        <w:szCs w:val="18"/>
      </w:rPr>
      <w:fldChar w:fldCharType="end"/>
    </w:r>
  </w:p>
  <w:p w:rsidR="001F740C" w:rsidRDefault="001F7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AB7017">
      <w:rPr>
        <w:rFonts w:ascii="Palatino Linotype" w:hAnsi="Palatino Linotype"/>
        <w:noProof/>
        <w:sz w:val="18"/>
        <w:szCs w:val="18"/>
      </w:rPr>
      <w:t>1</w:t>
    </w:r>
    <w:r w:rsidRPr="001F740C">
      <w:rPr>
        <w:rFonts w:ascii="Palatino Linotype" w:hAnsi="Palatino Linotype"/>
        <w:noProof/>
        <w:sz w:val="18"/>
        <w:szCs w:val="18"/>
      </w:rPr>
      <w:fldChar w:fldCharType="end"/>
    </w:r>
  </w:p>
  <w:p w:rsidR="00583379" w:rsidRDefault="00583379" w:rsidP="005833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90" w:rsidRDefault="00000D90">
      <w:r>
        <w:separator/>
      </w:r>
    </w:p>
  </w:footnote>
  <w:footnote w:type="continuationSeparator" w:id="0">
    <w:p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17" w:rsidRPr="009A10C0" w:rsidRDefault="00AB7017" w:rsidP="00AB7017">
    <w:pPr>
      <w:tabs>
        <w:tab w:val="center" w:pos="4320"/>
        <w:tab w:val="right" w:pos="8640"/>
      </w:tabs>
      <w:rPr>
        <w:szCs w:val="20"/>
      </w:rPr>
    </w:pPr>
    <w:r>
      <w:rPr>
        <w:rFonts w:ascii="Palatino Linotype" w:hAnsi="Palatino Linotype"/>
      </w:rPr>
      <w:t>CEPOL/PR/OP/2016/001</w:t>
    </w:r>
    <w:r w:rsidRPr="009A10C0">
      <w:rPr>
        <w:rFonts w:ascii="Palatino Linotype" w:hAnsi="Palatino Linotype"/>
      </w:rPr>
      <w:t xml:space="preserve"> - </w:t>
    </w:r>
    <w:r w:rsidRPr="009A10C0">
      <w:rPr>
        <w:rFonts w:ascii="Palatino Linotype" w:hAnsi="Palatino Linotype" w:cs="Arial"/>
      </w:rPr>
      <w:t>Multimedia services for CEPOL</w:t>
    </w:r>
    <w:r>
      <w:rPr>
        <w:rFonts w:ascii="Palatino Linotype" w:hAnsi="Palatino Linotype" w:cs="Arial"/>
      </w:rPr>
      <w:t xml:space="preserve">    </w:t>
    </w:r>
    <w:r>
      <w:rPr>
        <w:rFonts w:ascii="Palatino Linotype" w:hAnsi="Palatino Linotype" w:cs="Arial"/>
      </w:rPr>
      <w:tab/>
      <w:t xml:space="preserve">     ANNEX I</w:t>
    </w:r>
    <w:r>
      <w:rPr>
        <w:rFonts w:ascii="Palatino Linotype" w:hAnsi="Palatino Linotype" w:cs="Arial"/>
      </w:rPr>
      <w:t>V</w:t>
    </w:r>
  </w:p>
  <w:p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1F740C"/>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19B9"/>
    <w:rsid w:val="009F09C3"/>
    <w:rsid w:val="00A278B9"/>
    <w:rsid w:val="00A67419"/>
    <w:rsid w:val="00AA00F5"/>
    <w:rsid w:val="00AA10D6"/>
    <w:rsid w:val="00AB30FA"/>
    <w:rsid w:val="00AB7017"/>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106C10EB-16DC-47E6-A9AB-F0BBB5C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c02e182b-7e46-4567-89e5-b76ccbd06361"/>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B5962D-0958-42CB-974C-6264DEBF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3</cp:revision>
  <cp:lastPrinted>2015-10-02T14:55:00Z</cp:lastPrinted>
  <dcterms:created xsi:type="dcterms:W3CDTF">2016-03-02T13:30:00Z</dcterms:created>
  <dcterms:modified xsi:type="dcterms:W3CDTF">2016-03-02T13:34:00Z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